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EE" w:rsidRDefault="00011DDD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附件4：</w:t>
      </w:r>
    </w:p>
    <w:p w:rsidR="00EA27EE" w:rsidRDefault="00E81FCE">
      <w:pPr>
        <w:widowControl/>
        <w:shd w:val="clear" w:color="auto" w:fill="FFFFFF"/>
        <w:spacing w:line="375" w:lineRule="atLeast"/>
        <w:ind w:firstLine="600"/>
        <w:jc w:val="center"/>
        <w:rPr>
          <w:rFonts w:ascii="Verdana" w:eastAsia="宋体" w:hAnsi="Verdana" w:cs="宋体"/>
          <w:color w:val="333333"/>
          <w:kern w:val="0"/>
          <w:sz w:val="22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卫生毒理学 </w:t>
      </w:r>
      <w:r w:rsidR="00011DD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课程教学大纲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047"/>
        <w:gridCol w:w="1359"/>
        <w:gridCol w:w="1710"/>
        <w:gridCol w:w="1430"/>
        <w:gridCol w:w="111"/>
        <w:gridCol w:w="2664"/>
      </w:tblGrid>
      <w:tr w:rsidR="00EA27EE">
        <w:trPr>
          <w:trHeight w:val="572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3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E81F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卫生毒理学</w:t>
            </w:r>
          </w:p>
        </w:tc>
        <w:tc>
          <w:tcPr>
            <w:tcW w:w="1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2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E81F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医学部公共卫生学院</w:t>
            </w:r>
          </w:p>
        </w:tc>
      </w:tr>
      <w:tr w:rsidR="00EA27EE">
        <w:trPr>
          <w:trHeight w:val="565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课程英文名称</w:t>
            </w:r>
          </w:p>
        </w:tc>
        <w:tc>
          <w:tcPr>
            <w:tcW w:w="3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E81F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Toxicology</w:t>
            </w:r>
          </w:p>
        </w:tc>
        <w:tc>
          <w:tcPr>
            <w:tcW w:w="1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2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EA2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27EE">
        <w:trPr>
          <w:trHeight w:val="559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AD2B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曹毅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教学团队成员</w:t>
            </w:r>
          </w:p>
        </w:tc>
        <w:tc>
          <w:tcPr>
            <w:tcW w:w="42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3E48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曹毅，李建祥，</w:t>
            </w:r>
            <w:r w:rsidR="00480A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安艳</w:t>
            </w:r>
            <w:r w:rsidR="003E48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bookmarkStart w:id="0" w:name="_GoBack"/>
            <w:r w:rsidR="00480A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陈涛</w:t>
            </w:r>
            <w:bookmarkEnd w:id="0"/>
            <w:r w:rsidR="003E48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，张洁，聂继华，</w:t>
            </w:r>
            <w:proofErr w:type="gramStart"/>
            <w:r w:rsidR="003E48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武靖</w:t>
            </w:r>
            <w:proofErr w:type="gramEnd"/>
          </w:p>
        </w:tc>
      </w:tr>
      <w:tr w:rsidR="00EA27EE">
        <w:trPr>
          <w:trHeight w:val="555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3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3E48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3E48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A27EE">
        <w:trPr>
          <w:trHeight w:val="549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2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6B40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882250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>学位公共课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60762688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48AE">
                  <w:rPr>
                    <w:rFonts w:ascii="宋体" w:eastAsia="宋体" w:hAnsi="宋体" w:cs="宋体" w:hint="eastAsia"/>
                    <w:kern w:val="0"/>
                    <w:sz w:val="24"/>
                    <w:szCs w:val="24"/>
                  </w:rPr>
                  <w:sym w:font="Wingdings 2" w:char="F052"/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>核心课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301502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学位选修课程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223143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非学位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>课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程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A27EE">
        <w:trPr>
          <w:trHeight w:val="569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72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6B40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1006332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春季学期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1525368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秋季学期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17087619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48AE">
                  <w:rPr>
                    <w:rFonts w:ascii="宋体" w:eastAsia="宋体" w:hAnsi="宋体" w:cs="宋体" w:hint="eastAsia"/>
                    <w:kern w:val="0"/>
                    <w:sz w:val="24"/>
                    <w:szCs w:val="24"/>
                  </w:rPr>
                  <w:sym w:font="Wingdings 2" w:char="F052"/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春秋季学期</w:t>
            </w:r>
          </w:p>
        </w:tc>
      </w:tr>
      <w:tr w:rsidR="00EA27EE">
        <w:trPr>
          <w:trHeight w:val="569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适用学科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2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3E48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公共卫生与预防医学</w:t>
            </w:r>
          </w:p>
        </w:tc>
      </w:tr>
      <w:tr w:rsidR="00EA27EE">
        <w:trPr>
          <w:trHeight w:val="569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用研究生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6B40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54549734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48AE">
                  <w:rPr>
                    <w:rFonts w:ascii="宋体" w:eastAsia="宋体" w:hAnsi="宋体" w:cs="宋体" w:hint="eastAsia"/>
                    <w:kern w:val="0"/>
                    <w:sz w:val="24"/>
                    <w:szCs w:val="24"/>
                  </w:rPr>
                  <w:sym w:font="Wingdings 2" w:char="F052"/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学术型硕士 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80978467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48AE">
                  <w:rPr>
                    <w:rFonts w:ascii="宋体" w:eastAsia="宋体" w:hAnsi="宋体" w:cs="宋体" w:hint="eastAsia"/>
                    <w:kern w:val="0"/>
                    <w:sz w:val="24"/>
                    <w:szCs w:val="24"/>
                  </w:rPr>
                  <w:sym w:font="Wingdings 2" w:char="F052"/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专业型硕士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502424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学术型博士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966860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专业型博士</w:t>
            </w:r>
          </w:p>
        </w:tc>
      </w:tr>
      <w:tr w:rsidR="00EA27EE">
        <w:trPr>
          <w:trHeight w:val="551"/>
          <w:jc w:val="center"/>
        </w:trPr>
        <w:tc>
          <w:tcPr>
            <w:tcW w:w="23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2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6B40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1366401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考试 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349185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考查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204636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DDD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考试+考查  </w:t>
            </w:r>
            <w:r w:rsidR="00011D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202169042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48AE">
                  <w:rPr>
                    <w:rFonts w:ascii="宋体" w:eastAsia="宋体" w:hAnsi="宋体" w:cs="宋体" w:hint="eastAsia"/>
                    <w:kern w:val="0"/>
                    <w:sz w:val="24"/>
                    <w:szCs w:val="24"/>
                  </w:rPr>
                  <w:sym w:font="Wingdings 2" w:char="F052"/>
                </w:r>
              </w:sdtContent>
            </w:sdt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3E48AE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期末论文</w:t>
            </w:r>
            <w:r w:rsidR="00011DDD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EA27EE">
        <w:trPr>
          <w:trHeight w:val="1533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E" w:rsidRDefault="00011D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学习本课程之前应具备的基础知识：</w:t>
            </w:r>
          </w:p>
          <w:p w:rsidR="003E48AE" w:rsidRDefault="004A7CE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毒理学基础，生物化学，分子生物学，遗传学，免疫学，实验动物学等</w:t>
            </w:r>
          </w:p>
        </w:tc>
      </w:tr>
      <w:tr w:rsidR="00EA27EE">
        <w:trPr>
          <w:trHeight w:val="1773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E" w:rsidRDefault="00011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修此课程的必要性和修完本门课程后能够掌握的知识：</w:t>
            </w:r>
          </w:p>
          <w:p w:rsidR="001712EF" w:rsidRDefault="001D1A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理学是预防医学与公共卫生专业硕士研究的核心课程，主要研究化学物、物理因素和生物因素对生物体的毒性作用及其机制。硕士研究生卫生毒理学课程是在本科生系统的毒理学理论的基础上，结合毒理学系教师的科研方向，进一步学习辐射毒理学、药物毒理学、时间毒理学、环境与职业毒理学等内容，深入了解毒理学研究的逻辑、系统、技术，以及研究结果的解释和应用。</w:t>
            </w:r>
          </w:p>
        </w:tc>
      </w:tr>
      <w:tr w:rsidR="00EA27EE">
        <w:trPr>
          <w:trHeight w:val="1811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E" w:rsidRDefault="00011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授课方式：</w:t>
            </w:r>
          </w:p>
          <w:p w:rsidR="003E48AE" w:rsidRDefault="003E48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教师讲授，课堂讨论</w:t>
            </w:r>
            <w:r w:rsidR="001D1A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A27EE">
        <w:trPr>
          <w:trHeight w:val="2231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EE" w:rsidRDefault="00011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课程考核方法、考核时间、评价标准（包括平时测试、期中期末考试、平时作业、小论文等）：</w:t>
            </w:r>
          </w:p>
          <w:p w:rsidR="001D1A2F" w:rsidRDefault="001D1A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考试形式：小论文。结合老师讲授的内容，撰写毒理学期末论文，最后一次课结束时上交。论文要求：与毒理学有关（10%）；复合论文写作的规范，要有中英文摘要，图表符合规范</w:t>
            </w:r>
            <w:r w:rsidR="001E73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（30%）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，论文撰写要</w:t>
            </w:r>
            <w:r w:rsidR="001E73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逻辑</w:t>
            </w:r>
            <w:r w:rsidR="001E73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1E73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完整性（30%）；要有创新性，有自己的观点（30%）。</w:t>
            </w:r>
          </w:p>
        </w:tc>
      </w:tr>
      <w:tr w:rsidR="00EA27EE">
        <w:trPr>
          <w:trHeight w:val="597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课程教学内容安排</w:t>
            </w:r>
          </w:p>
        </w:tc>
      </w:tr>
      <w:tr w:rsidR="00EA27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授课次数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011D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知识要点</w:t>
            </w:r>
          </w:p>
        </w:tc>
      </w:tr>
      <w:tr w:rsidR="00A53888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88" w:rsidRDefault="00A538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88" w:rsidRPr="00D723E5" w:rsidRDefault="00A5388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毒理学基本理论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888" w:rsidRPr="00D723E5" w:rsidRDefault="00A5388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毒理学基本理论回顾</w:t>
            </w:r>
          </w:p>
        </w:tc>
      </w:tr>
      <w:tr w:rsidR="00EA27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1E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Pr="00D723E5" w:rsidRDefault="001E73E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电离辐射毒作用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Pr="00D723E5" w:rsidRDefault="001E73E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电离辐射的基本概念；电离辐射健康效应；电离辐射防护的原则和方法</w:t>
            </w:r>
          </w:p>
        </w:tc>
      </w:tr>
      <w:tr w:rsidR="00EA27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Default="001E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Pr="00D723E5" w:rsidRDefault="001E73E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非电离辐射毒作用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7EE" w:rsidRPr="00D723E5" w:rsidRDefault="001E73E4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非电离辐射的基本概念；非电离辐射健康效应；非电离辐射防护的原则和方法</w:t>
            </w:r>
          </w:p>
        </w:tc>
      </w:tr>
      <w:tr w:rsidR="00FB17E6" w:rsidTr="00296A12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Default="00826F77" w:rsidP="00FB1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Pr="00D723E5" w:rsidRDefault="00FB17E6" w:rsidP="00FB17E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pacing w:val="-4"/>
                <w:sz w:val="24"/>
                <w:szCs w:val="24"/>
              </w:rPr>
              <w:t>生殖毒理学</w:t>
            </w: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723E5">
              <w:rPr>
                <w:rFonts w:asciiTheme="minorEastAsia" w:hAnsiTheme="minorEastAsia"/>
                <w:sz w:val="24"/>
                <w:szCs w:val="24"/>
              </w:rPr>
              <w:t>双语）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Pr="00D723E5" w:rsidRDefault="00FB17E6" w:rsidP="00FB17E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生殖毒性的产生机制</w:t>
            </w:r>
          </w:p>
        </w:tc>
      </w:tr>
      <w:tr w:rsidR="00FB17E6" w:rsidTr="00296A12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Default="00826F77" w:rsidP="00FB1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Pr="00D723E5" w:rsidRDefault="00FB17E6" w:rsidP="00FB17E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pacing w:val="-4"/>
                <w:sz w:val="24"/>
                <w:szCs w:val="24"/>
              </w:rPr>
              <w:t>时间毒理学（双语）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Pr="00D723E5" w:rsidRDefault="00FB17E6" w:rsidP="00FB17E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生物节律在外源性物质所致机体毒性仲的作用</w:t>
            </w:r>
          </w:p>
        </w:tc>
      </w:tr>
      <w:tr w:rsidR="00FB17E6" w:rsidTr="00434D3D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Default="00826F77" w:rsidP="00FB1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E6" w:rsidRPr="00D723E5" w:rsidRDefault="00FB17E6" w:rsidP="00FB17E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pacing w:val="-4"/>
                <w:sz w:val="24"/>
                <w:szCs w:val="24"/>
              </w:rPr>
              <w:t>衰老毒理学（双语）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Pr="00D723E5" w:rsidRDefault="00FB17E6" w:rsidP="00FB17E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sz w:val="24"/>
                <w:szCs w:val="24"/>
              </w:rPr>
              <w:t>衰老的概念及规律、衰老的影响因素及评价、加速衰老的环境毒素、环境污染对人体衰老的影响及毒性机理、抗衰老干预措施</w:t>
            </w:r>
          </w:p>
        </w:tc>
      </w:tr>
      <w:tr w:rsidR="00FB17E6" w:rsidTr="00434D3D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Default="00826F77" w:rsidP="00FB1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E6" w:rsidRPr="00D723E5" w:rsidRDefault="00FB17E6" w:rsidP="00FB17E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pacing w:val="-4"/>
                <w:sz w:val="24"/>
                <w:szCs w:val="24"/>
              </w:rPr>
              <w:t>环境毒理学（双语）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7E6" w:rsidRPr="00D723E5" w:rsidRDefault="00FB17E6" w:rsidP="00FB17E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sz w:val="24"/>
                <w:szCs w:val="24"/>
              </w:rPr>
              <w:t>环境毒理学基本概念、中毒机理、环境毒理学实验、不同介质的环境毒理学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表观遗传学（双语）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表观遗传的种类和作用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DNA损伤与修复（双语）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DNA损伤及对应的修复方式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纳米毒理学（双语）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如何评价纳米粒子安全性?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毒理组学（双语）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毒理组学平台有哪些？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发育毒理学；皮肤毒理学（双语）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/>
                <w:kern w:val="0"/>
                <w:sz w:val="24"/>
                <w:szCs w:val="24"/>
              </w:rPr>
              <w:t>国内外发育毒理学和皮肤毒理学的研究现状，掌握常用的技术和研究方法。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z w:val="24"/>
                <w:szCs w:val="24"/>
              </w:rPr>
              <w:t>氡毒理学（双语）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/>
                <w:kern w:val="0"/>
                <w:sz w:val="24"/>
                <w:szCs w:val="24"/>
              </w:rPr>
              <w:t>氡的特性</w:t>
            </w: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以及</w:t>
            </w:r>
            <w:r w:rsidRPr="00D723E5">
              <w:rPr>
                <w:rFonts w:asciiTheme="minorEastAsia" w:hAnsiTheme="minorEastAsia" w:cs="宋体"/>
                <w:kern w:val="0"/>
                <w:sz w:val="24"/>
                <w:szCs w:val="24"/>
              </w:rPr>
              <w:t>危害，环境中氡的检测方法，国内外氡的分布和研究状况。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pacing w:val="-4"/>
                <w:sz w:val="24"/>
                <w:szCs w:val="24"/>
              </w:rPr>
              <w:t>管理毒理学（双语）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管理毒理学和风险评估理论与应用</w:t>
            </w:r>
          </w:p>
        </w:tc>
      </w:tr>
      <w:tr w:rsidR="00826F77" w:rsidTr="00D365EE">
        <w:trPr>
          <w:trHeight w:val="532"/>
          <w:jc w:val="center"/>
        </w:trPr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Default="00826F77" w:rsidP="00826F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hint="eastAsia"/>
                <w:spacing w:val="-4"/>
                <w:sz w:val="24"/>
                <w:szCs w:val="24"/>
              </w:rPr>
              <w:t>药物安全评价（双语）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77" w:rsidRPr="00D723E5" w:rsidRDefault="00826F77" w:rsidP="00826F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723E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药物临床前与临床研究中安全性评价要点与原则</w:t>
            </w:r>
          </w:p>
        </w:tc>
      </w:tr>
      <w:tr w:rsidR="00826F77">
        <w:trPr>
          <w:trHeight w:val="13421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Default="00826F77" w:rsidP="00826F7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参考书目及必须阅读的学术论文清单（论文不少于20篇）：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Philip Wexler, Encyclopedia of Toxicology, Third Edition. London. Academic Press, Elsevier, Inc. 2014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孙志伟，陈雯，周建伟，张文昌编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全国高等学校教材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毒理学基础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版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[M].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北京：人民卫生出版社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.2017.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Curtis </w:t>
            </w:r>
            <w:proofErr w:type="spellStart"/>
            <w:proofErr w:type="gram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D.Klaassen</w:t>
            </w:r>
            <w:proofErr w:type="spellEnd"/>
            <w:proofErr w:type="gram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Casarett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Doull’s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Toxicology, Seventh edition, New York, McGraw-Hill, medical publishing division, 2008.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Seiler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Toxicology- From Cells to Man, ISBN-13:9783642646966, 2011-09-22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Robert C. Smart and Ernest Hodgson. Molecular and biochemical toxicology Fourth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edtion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New </w:t>
            </w:r>
            <w:proofErr w:type="spellStart"/>
            <w:proofErr w:type="gram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Jersey:John</w:t>
            </w:r>
            <w:proofErr w:type="spellEnd"/>
            <w:proofErr w:type="gram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Wiley and Sons,Inc.2008.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Philip Wexler.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毒理学百科（拓展卷）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北京：科学出版社，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2007.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孟紫强</w:t>
            </w:r>
            <w:proofErr w:type="gram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主编，现代环境毒理学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北京：中国环境出版社，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Ernest Hodgson. A Textbook of Modern Toxicology, Fourth </w:t>
            </w:r>
            <w:proofErr w:type="spellStart"/>
            <w:proofErr w:type="gram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Edition,New</w:t>
            </w:r>
            <w:proofErr w:type="spellEnd"/>
            <w:proofErr w:type="gram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Jersey: John Wiley and Sons,Inc.2010.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Luis M.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Botana.Environmental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Toxicology[M</w:t>
            </w:r>
            <w:proofErr w:type="gram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].Berlin</w:t>
            </w:r>
            <w:proofErr w:type="gram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Boston:De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Gruyter,2018.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Robinson, Laura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 practical guide to toxicology and human health risk assessment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Gad, Shayne C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Regulatory toxicology 2019, CRC Press.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Helmut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Greim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Robert Snyder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Toxicology and Risk Assessment: A Comprehensive Introduction, Second Edition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毒理学基础（案例版，第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版）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张爱华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蒋义国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主编，毒理学基础，第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版，科学出版，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2019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姜岳明，洪峰，曹毅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生活中的毒物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人民卫生出版社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,2020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中国通信学会普及与教育工作委员会，电磁辐射是与非，人民邮电出版社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,ISBN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9787115371591, 2014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杨占山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放射毒理学，中国原子能出版，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Amita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Sehgal, Molecular biology of circadian rhythms. 2004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Roberto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Refinetti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Circadian Physiology.2006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Clark Chen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New Research Directions in DNA Repair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IntechOpen</w:t>
            </w:r>
            <w:proofErr w:type="spellEnd"/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ISBN: 978-953-51-5375-7</w:t>
            </w:r>
          </w:p>
          <w:p w:rsidR="00826F77" w:rsidRPr="00826F77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Hollie Rowlands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Epigenetics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Current Research and Emerging Trends. 2015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826F7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Frontiers in Genetics.</w:t>
            </w:r>
          </w:p>
          <w:p w:rsidR="00826F77" w:rsidRPr="00826F77" w:rsidRDefault="00826F77" w:rsidP="00826F77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>Monteiro-Riviere, Nancy A. Nanotoxicology: Progress Toward Nanomedicine, Second Edition. CRC Press,2014. ISBN: 9781482203875.</w:t>
            </w:r>
          </w:p>
          <w:p w:rsidR="00826F77" w:rsidRPr="00826F77" w:rsidRDefault="00826F77" w:rsidP="00826F77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>Saura</w:t>
            </w:r>
            <w:proofErr w:type="spellEnd"/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>Slhu</w:t>
            </w:r>
            <w:proofErr w:type="spellEnd"/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>Toxicogenomics</w:t>
            </w:r>
            <w:proofErr w:type="spellEnd"/>
            <w:r w:rsidRPr="00826F77">
              <w:rPr>
                <w:rFonts w:ascii="Times New Roman" w:eastAsia="宋体" w:hAnsi="Times New Roman" w:cs="Times New Roman"/>
                <w:sz w:val="24"/>
                <w:szCs w:val="24"/>
              </w:rPr>
              <w:t>. Wiley, 2008. ISBN:9780470518236.</w:t>
            </w:r>
          </w:p>
          <w:p w:rsidR="00826F77" w:rsidRPr="00826F77" w:rsidRDefault="00826F77" w:rsidP="00826F7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6F77">
        <w:trPr>
          <w:trHeight w:val="13421"/>
          <w:jc w:val="center"/>
        </w:trPr>
        <w:tc>
          <w:tcPr>
            <w:tcW w:w="96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MUNOZ-ESPIN D, SERRANO M. Cellular senescence: from physiology to pathology [J]. Nat Rev Mol Cell Biol, 2014, 15(7): 482-96.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SORRENTINO J A, SANOFF H K, SHARPLESS N E. Defining the toxicology of aging [J]. Trends Mol Med, 2014, 20(7): 375-84.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Wood A W,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Karipidis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 .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Non-ionizing Radiation Protection (Summary of Research and Policy Options) [M].  111 River Street Hoboken New Jersey:  John Wiley &amp; Sons, Inc, 2017.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Klauenberg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B J,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Miklavčič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D. Radio Frequency Radiation Dosimetry and Its Relationship to the Biological Effects of Electromagnetic Fields[M]. Berlin: Springer Netherlands, 2000.</w:t>
            </w:r>
          </w:p>
          <w:p w:rsidR="00826F77" w:rsidRPr="00BC2A7C" w:rsidRDefault="00826F77" w:rsidP="00826F77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Lin J C. Advances in Electromagnetic Fields in Living Systems volume 5//Health Effects of Cell Phone Radiation[M]. Berlin: Springer Science Business Media, 2009.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Protecting Your Home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From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Radon. A Step-by-step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Mannual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for Radon Reduction. Second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Edition.Doug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Kladder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 ISBN#0-9639434-0-5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Environmental Radon Exposure and Childhood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Leukemia.Jian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Tong,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Liqiang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Qin, Yi </w:t>
            </w:r>
            <w:proofErr w:type="spellStart"/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Cao,et</w:t>
            </w:r>
            <w:proofErr w:type="spellEnd"/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al.Journal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of Toxicology and Environmental Health, Part B. 2012;15(5):332-47.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Preclinical Development Handbook: Toxicology, Greenstein, G, Reference Reviews, 2008;22(8):42-42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Principles and Practice of Skin Toxicology, Robert P.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Chilcott ,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Shirley Price, 2008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Trey K </w:t>
            </w:r>
            <w:proofErr w:type="spellStart"/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Sato,Rikuhiro</w:t>
            </w:r>
            <w:proofErr w:type="spellEnd"/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Yamada,Hideki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Ukai,Julie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E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Baggs,Loren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J Miraglia,1 Tetsuya J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Kobayashi,David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K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Welsh,Steve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Kay,Hiroki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Ueda,and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John B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Hogenesch.Feedback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repression is required for mammalian circadian clock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function.Nat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Genet. 2006 Mar; 38(3): 312–319.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Grigorios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Oikonomou,Michael</w:t>
            </w:r>
            <w:proofErr w:type="spellEnd"/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Altermatt,Rong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Zhang,Gerard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M. Coughlin, Christin Montz,1 Viviana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Gradinaru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and David A. Prober. The Serotonergic Raphe Promote Sleep in Zebrafish and Mice. Neuron. 2019 Aug 21; 103(4): 686–701.e8.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YangYang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Fengshou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Dong, Xingang Liu, Jun Xu,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Xiaohu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Wu,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Yongquan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Zheng.  Dysregulation of circadian rhythm in zebrafish (Danio rerio) by thifluzamide: Involvement of positive and negative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regulators.Chemosphere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235</w:t>
            </w: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 280-287.</w:t>
            </w:r>
          </w:p>
          <w:p w:rsidR="00826F77" w:rsidRPr="00BC2A7C" w:rsidRDefault="006B40E4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8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Wolfgang E Berdel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9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Saliha Harrach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10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Caroline Brand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11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Kathrin Brömmel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12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Andrew F Berdel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13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Heike Hintelmann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14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Christoph Schliemann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, </w:t>
            </w:r>
            <w:hyperlink r:id="rId15" w:history="1">
              <w:r w:rsidR="00826F77" w:rsidRPr="00BC2A7C">
                <w:rPr>
                  <w:rFonts w:ascii="Times New Roman" w:eastAsia="宋体" w:hAnsi="Times New Roman" w:cs="Times New Roman"/>
                  <w:sz w:val="24"/>
                  <w:szCs w:val="24"/>
                </w:rPr>
                <w:t>Christian Schwöppe</w:t>
              </w:r>
            </w:hyperlink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Animal Safety, Toxicology, and Pharmacokinetic Studies According to the ICH S9 Guideline for a Novel Fusion Protein </w:t>
            </w:r>
            <w:proofErr w:type="spellStart"/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tTF</w:t>
            </w:r>
            <w:proofErr w:type="spellEnd"/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-NGR Targeting </w:t>
            </w:r>
            <w:proofErr w:type="spellStart"/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Procoagulatory</w:t>
            </w:r>
            <w:proofErr w:type="spellEnd"/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Activity into Tumor Vasculature: Are Results Predictive for Humans? Cancers (Basel).2020;12(12</w:t>
            </w:r>
            <w:proofErr w:type="gramStart"/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):E3536.doi</w:t>
            </w:r>
            <w:proofErr w:type="gramEnd"/>
            <w:r w:rsidR="00826F77" w:rsidRPr="00BC2A7C">
              <w:rPr>
                <w:rFonts w:ascii="Times New Roman" w:eastAsia="宋体" w:hAnsi="Times New Roman" w:cs="Times New Roman"/>
                <w:sz w:val="24"/>
                <w:szCs w:val="24"/>
              </w:rPr>
              <w:t>: 10.3390/cancers12123536.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Baradeh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B,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Rudnizky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Pnueli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L, Bentley GR,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Stöger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R, Kaplan A, Melamed P</w:t>
            </w: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Unravelling the role of epigenetics in reproductive adaptations to early-life environment. Nat Rev Endocrinol 2020 09;169(9)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Tammen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SA, 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Friso</w:t>
            </w:r>
            <w:proofErr w:type="spellEnd"/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S,  Choi SW, Epigenetics: the link between nature and nurture. Mol Aspects Med 2013 Jul-Aug;344(4)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Tiwari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V,  Wilson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DM, DNA Damage and Associated DNA Repair Defects in Disease and Premature Aging. Am J Hum Genet 2019 08 01;1052(2)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Scott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TL, 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Rangaswamy</w:t>
            </w:r>
            <w:proofErr w:type="spellEnd"/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S,  Wicker CA,  Izumi T, Repair of oxidative DNA damage and cancer: recent progress in DNA base excision repair.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Antioxid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Redox Signal 2014 Feb 01;204(4)</w:t>
            </w:r>
          </w:p>
          <w:p w:rsidR="00826F77" w:rsidRPr="00BC2A7C" w:rsidRDefault="00826F77" w:rsidP="00826F77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Murray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JM, 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Carr</w:t>
            </w:r>
            <w:proofErr w:type="spellEnd"/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AM, Integrating DNA damage repair with the cell cycle.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Curr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Opin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Cell Biol 2018 06;52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Günter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Oberdörster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et al. Nanotoxicology: an emerging discipline evolving from studies of ultrafine particles. Environ Health Perspect.2005;113(7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):823-39.doi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10.1289/ehp.7339.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Andre Nel, et al. Toxic potential of materials at the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nanolevel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Science. 2006; 311(5761):622-7.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10.1126/science.1114397.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Harald F. Krug and Peter Wick. Nanotoxicology: an interdisciplinary challenge.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Angew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Chem Int Ed Engl. 2011; 50(6):1260-78.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10.1002/anie.201001037.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Anna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Bencsik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, et al. Nano- and neurotoxicology: An emerging discipline. Prog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Neurobiol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2018;160:45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-63.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10.1016/j.pneurobio.2017.10.003.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Bettazzi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F,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Palchetti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I. Nanotoxicity assessment: A challenging application for cutting edge electroanalytical tools. Anal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Chim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Acta. </w:t>
            </w:r>
            <w:proofErr w:type="gram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2019;1072:61</w:t>
            </w:r>
            <w:proofErr w:type="gram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-74.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10.1016/j.aca.2019.04.035.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Gomase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VS, Tagore S.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Toxicogenomics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Curr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Drug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Metab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2008;9(3):250-4.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10.2174/138920008783884696.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Brinke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A, et al.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Toxicogenomics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in Environmental Science. Adv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Biochem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Eng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Biotechnol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 2017;157: 159-186.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10.1007/10_2016_15.</w:t>
            </w:r>
          </w:p>
          <w:p w:rsidR="00BC2A7C" w:rsidRPr="00BC2A7C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Liu Z, et al.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Toxicogenomics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A 2020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Vision.Trends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Pharmacol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Sci. 2019;40(2):92-103.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10.1016/j.tips.2018.12.001.</w:t>
            </w:r>
          </w:p>
          <w:p w:rsidR="00BC2A7C" w:rsidRPr="00CC6673" w:rsidRDefault="00BC2A7C" w:rsidP="00BC2A7C">
            <w:pPr>
              <w:pStyle w:val="aa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Dwivedi S, et al.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Toxicogenomics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: A New Paradigm for Nanotoxicity Evaluation. Adv Exp Med Biol. 2018; 1048:143-161. </w:t>
            </w:r>
            <w:proofErr w:type="spellStart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doi</w:t>
            </w:r>
            <w:proofErr w:type="spellEnd"/>
            <w:r w:rsidRPr="00BC2A7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 10.1007/978-3-319-72041-8_9.</w:t>
            </w:r>
          </w:p>
        </w:tc>
      </w:tr>
    </w:tbl>
    <w:p w:rsidR="00EA27EE" w:rsidRDefault="00EA27EE"/>
    <w:sectPr w:rsidR="00EA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E5" w:rsidRDefault="004A7CE5" w:rsidP="004A7CE5">
      <w:r>
        <w:separator/>
      </w:r>
    </w:p>
  </w:endnote>
  <w:endnote w:type="continuationSeparator" w:id="0">
    <w:p w:rsidR="004A7CE5" w:rsidRDefault="004A7CE5" w:rsidP="004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E5" w:rsidRDefault="004A7CE5" w:rsidP="004A7CE5">
      <w:r>
        <w:separator/>
      </w:r>
    </w:p>
  </w:footnote>
  <w:footnote w:type="continuationSeparator" w:id="0">
    <w:p w:rsidR="004A7CE5" w:rsidRDefault="004A7CE5" w:rsidP="004A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664"/>
    <w:multiLevelType w:val="hybridMultilevel"/>
    <w:tmpl w:val="18420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4B0B80"/>
    <w:multiLevelType w:val="hybridMultilevel"/>
    <w:tmpl w:val="F7729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1"/>
    <w:rsid w:val="00011DDD"/>
    <w:rsid w:val="000418A1"/>
    <w:rsid w:val="000600A2"/>
    <w:rsid w:val="00080A4D"/>
    <w:rsid w:val="0014456E"/>
    <w:rsid w:val="001712EF"/>
    <w:rsid w:val="001A253F"/>
    <w:rsid w:val="001C7946"/>
    <w:rsid w:val="001D1A2F"/>
    <w:rsid w:val="001E419E"/>
    <w:rsid w:val="001E73E4"/>
    <w:rsid w:val="002D7F34"/>
    <w:rsid w:val="003D417E"/>
    <w:rsid w:val="003E48AE"/>
    <w:rsid w:val="003E75F9"/>
    <w:rsid w:val="003F7A4C"/>
    <w:rsid w:val="00432B49"/>
    <w:rsid w:val="00480AA1"/>
    <w:rsid w:val="004A21DC"/>
    <w:rsid w:val="004A7CE5"/>
    <w:rsid w:val="004F22A4"/>
    <w:rsid w:val="005907FB"/>
    <w:rsid w:val="006B40E4"/>
    <w:rsid w:val="006B4788"/>
    <w:rsid w:val="006F609B"/>
    <w:rsid w:val="0073668B"/>
    <w:rsid w:val="007843AC"/>
    <w:rsid w:val="007B4DD0"/>
    <w:rsid w:val="00812E14"/>
    <w:rsid w:val="00826F77"/>
    <w:rsid w:val="00872974"/>
    <w:rsid w:val="008A424E"/>
    <w:rsid w:val="008F4760"/>
    <w:rsid w:val="00A15C50"/>
    <w:rsid w:val="00A53888"/>
    <w:rsid w:val="00A66B8D"/>
    <w:rsid w:val="00AB4E24"/>
    <w:rsid w:val="00AD2BE7"/>
    <w:rsid w:val="00AE123F"/>
    <w:rsid w:val="00AF2CFD"/>
    <w:rsid w:val="00B06744"/>
    <w:rsid w:val="00B45B61"/>
    <w:rsid w:val="00BA573C"/>
    <w:rsid w:val="00BC2A7C"/>
    <w:rsid w:val="00C57086"/>
    <w:rsid w:val="00C61D04"/>
    <w:rsid w:val="00C73F3A"/>
    <w:rsid w:val="00CA673E"/>
    <w:rsid w:val="00CC6673"/>
    <w:rsid w:val="00CE421B"/>
    <w:rsid w:val="00D723E5"/>
    <w:rsid w:val="00E04E13"/>
    <w:rsid w:val="00E232CD"/>
    <w:rsid w:val="00E81FCE"/>
    <w:rsid w:val="00EA27EE"/>
    <w:rsid w:val="00FB17E6"/>
    <w:rsid w:val="047A5601"/>
    <w:rsid w:val="0C774964"/>
    <w:rsid w:val="165F4468"/>
    <w:rsid w:val="18CE6F09"/>
    <w:rsid w:val="1D8459DA"/>
    <w:rsid w:val="1F8D28B6"/>
    <w:rsid w:val="1F9432FA"/>
    <w:rsid w:val="28B748EF"/>
    <w:rsid w:val="2B521D94"/>
    <w:rsid w:val="33D00C01"/>
    <w:rsid w:val="34366A93"/>
    <w:rsid w:val="35E809D3"/>
    <w:rsid w:val="47A311E6"/>
    <w:rsid w:val="4B7F6309"/>
    <w:rsid w:val="4C705119"/>
    <w:rsid w:val="4E46117E"/>
    <w:rsid w:val="5F4E73E4"/>
    <w:rsid w:val="63C67E77"/>
    <w:rsid w:val="6D6756E3"/>
    <w:rsid w:val="72BA3BBC"/>
    <w:rsid w:val="7953525A"/>
    <w:rsid w:val="7ADF78F0"/>
    <w:rsid w:val="7BC22B97"/>
    <w:rsid w:val="7E0853AF"/>
    <w:rsid w:val="7FE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8D839CE-0B75-4861-A0BA-99B288B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C66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C6673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CC6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C667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sort=date&amp;term=Berdel+WE&amp;cauthor_id=33256235" TargetMode="External"/><Relationship Id="rId13" Type="http://schemas.openxmlformats.org/officeDocument/2006/relationships/hyperlink" Target="https://pubmed.ncbi.nlm.nih.gov/?sort=date&amp;term=Hintelmann+H&amp;cauthor_id=33256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sort=date&amp;term=Berdel+AF&amp;cauthor_id=332562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?sort=date&amp;term=Br%C3%B6mmel+K&amp;cauthor_id=33256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sort=date&amp;term=Schw%C3%B6ppe+C&amp;cauthor_id=33256235" TargetMode="External"/><Relationship Id="rId10" Type="http://schemas.openxmlformats.org/officeDocument/2006/relationships/hyperlink" Target="https://pubmed.ncbi.nlm.nih.gov/?sort=date&amp;term=Brand+C&amp;cauthor_id=33256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sort=date&amp;term=Harrach+S&amp;cauthor_id=33256235" TargetMode="External"/><Relationship Id="rId14" Type="http://schemas.openxmlformats.org/officeDocument/2006/relationships/hyperlink" Target="https://pubmed.ncbi.nlm.nih.gov/?sort=date&amp;term=Schliemann+C&amp;cauthor_id=3325623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6953</Characters>
  <Application>Microsoft Office Word</Application>
  <DocSecurity>0</DocSecurity>
  <Lines>57</Lines>
  <Paragraphs>16</Paragraphs>
  <ScaleCrop>false</ScaleCrop>
  <Company>P R C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suda-yjsy</dc:creator>
  <cp:lastModifiedBy>caoyi</cp:lastModifiedBy>
  <cp:revision>4</cp:revision>
  <dcterms:created xsi:type="dcterms:W3CDTF">2020-12-31T01:01:00Z</dcterms:created>
  <dcterms:modified xsi:type="dcterms:W3CDTF">2020-12-31T01:52:00Z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